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EB" w:rsidRDefault="00291D77">
      <w:pPr>
        <w:pStyle w:val="Nzev"/>
        <w:pBdr>
          <w:top w:val="nil"/>
          <w:left w:val="nil"/>
          <w:bottom w:val="nil"/>
          <w:right w:val="nil"/>
          <w:between w:val="nil"/>
        </w:pBdr>
      </w:pPr>
      <w:bookmarkStart w:id="0" w:name="_mwje9u4q7m4x" w:colFirst="0" w:colLast="0"/>
      <w:bookmarkStart w:id="1" w:name="_GoBack"/>
      <w:bookmarkEnd w:id="0"/>
      <w:bookmarkEnd w:id="1"/>
      <w:r>
        <w:t>Technické požadavky na zapojení knihovny do portálu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verze 2.0 - od 12. října 2015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Style w:val="Nadpis1"/>
        <w:pBdr>
          <w:top w:val="nil"/>
          <w:left w:val="nil"/>
          <w:bottom w:val="nil"/>
          <w:right w:val="nil"/>
          <w:between w:val="nil"/>
        </w:pBdr>
      </w:pPr>
      <w:bookmarkStart w:id="2" w:name="_v4fnxevg01id" w:colFirst="0" w:colLast="0"/>
      <w:bookmarkEnd w:id="2"/>
      <w:r>
        <w:t>Shrnutí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Nezbytné předpoklady:</w:t>
      </w:r>
      <w:r>
        <w:rPr>
          <w:vertAlign w:val="superscript"/>
        </w:rPr>
        <w:footnoteReference w:id="1"/>
      </w:r>
    </w:p>
    <w:p w:rsidR="007F1CEB" w:rsidRDefault="0029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OAI-PMH ve verzi 2 pro všechny </w:t>
      </w:r>
      <w:hyperlink w:anchor="_asql8wuop8jb">
        <w:r>
          <w:rPr>
            <w:b/>
            <w:color w:val="1155CC"/>
            <w:u w:val="single"/>
          </w:rPr>
          <w:t>veřejné bibliografické záznamy</w:t>
        </w:r>
      </w:hyperlink>
      <w:r>
        <w:t xml:space="preserve"> nebo pravidelný export na SFT server Moravské zemské knihovny</w:t>
      </w:r>
    </w:p>
    <w:p w:rsidR="007F1CEB" w:rsidRDefault="0029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informace o jednotkách předávány jako součást bibliografického záznamu v opakovatelném </w:t>
      </w:r>
      <w:hyperlink w:anchor="_vubi8m6fo8an">
        <w:r>
          <w:rPr>
            <w:color w:val="1155CC"/>
            <w:u w:val="single"/>
          </w:rPr>
          <w:t>poli 996</w:t>
        </w:r>
      </w:hyperlink>
    </w:p>
    <w:p w:rsidR="007F1CEB" w:rsidRDefault="0029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w:anchor="_j7qed4q80krn">
        <w:r>
          <w:rPr>
            <w:b/>
            <w:color w:val="1155CC"/>
            <w:u w:val="single"/>
          </w:rPr>
          <w:t>NCIP nebo ALEPH RESTful A</w:t>
        </w:r>
        <w:r>
          <w:rPr>
            <w:b/>
            <w:color w:val="1155CC"/>
            <w:u w:val="single"/>
          </w:rPr>
          <w:t>PI</w:t>
        </w:r>
      </w:hyperlink>
      <w:r>
        <w:rPr>
          <w:b/>
        </w:rPr>
        <w:t xml:space="preserve"> </w:t>
      </w:r>
      <w:r>
        <w:t xml:space="preserve">pro zpřístupnění informací o aktuální dostupnosti a zprovoznění služeb nahrazujících lokální OPACy jednotlivých knihoven </w:t>
      </w:r>
    </w:p>
    <w:p w:rsidR="007F1CEB" w:rsidRDefault="0029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w:anchor="_jcdefh75e5ff">
        <w:r>
          <w:rPr>
            <w:b/>
            <w:color w:val="1155CC"/>
            <w:u w:val="single"/>
          </w:rPr>
          <w:t>registrace u eduID</w:t>
        </w:r>
      </w:hyperlink>
      <w:r>
        <w:rPr>
          <w:b/>
        </w:rPr>
        <w:t xml:space="preserve"> </w:t>
      </w:r>
      <w:r>
        <w:t>pro ověřování identit (nebo pro malé knihovny implementovaná funkce LookupUser v NCIPu)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Silně doporučeno:</w:t>
      </w:r>
    </w:p>
    <w:p w:rsidR="007F1CEB" w:rsidRDefault="0029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registrace do knihovny online za pomocí validovaného </w:t>
      </w:r>
      <w:hyperlink w:anchor="_lrmkh8i9d4d4">
        <w:r>
          <w:rPr>
            <w:color w:val="1155CC"/>
            <w:u w:val="single"/>
          </w:rPr>
          <w:t>mojeID</w:t>
        </w:r>
      </w:hyperlink>
    </w:p>
    <w:p w:rsidR="007F1CEB" w:rsidRDefault="0029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přijímání </w:t>
      </w:r>
      <w:hyperlink w:anchor="_2nwp3ilt63xu">
        <w:r>
          <w:rPr>
            <w:color w:val="1155CC"/>
            <w:u w:val="single"/>
          </w:rPr>
          <w:t xml:space="preserve">online </w:t>
        </w:r>
        <w:r>
          <w:rPr>
            <w:color w:val="1155CC"/>
            <w:u w:val="single"/>
          </w:rPr>
          <w:t>plateb</w:t>
        </w:r>
      </w:hyperlink>
      <w:r>
        <w:t xml:space="preserve"> včetně úhrady registračního poplatku</w:t>
      </w:r>
    </w:p>
    <w:p w:rsidR="007F1CEB" w:rsidRDefault="00291D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poskytnutí kopie knihovnou tvořených zdrojů včetně obsahu digitální knihovny pro indexaci v portálu, poskytnutí informací o knihovnou pořízených elektronických zdrojích</w:t>
      </w:r>
    </w:p>
    <w:p w:rsidR="007F1CEB" w:rsidRDefault="00291D77">
      <w:pPr>
        <w:pStyle w:val="Nadpis1"/>
        <w:pBdr>
          <w:top w:val="nil"/>
          <w:left w:val="nil"/>
          <w:bottom w:val="nil"/>
          <w:right w:val="nil"/>
          <w:between w:val="nil"/>
        </w:pBdr>
      </w:pPr>
      <w:bookmarkStart w:id="3" w:name="_66omagz9q7f1" w:colFirst="0" w:colLast="0"/>
      <w:bookmarkEnd w:id="3"/>
      <w:r>
        <w:t>Podrobný popis</w:t>
      </w:r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4" w:name="_asql8wuop8jb" w:colFirst="0" w:colLast="0"/>
      <w:bookmarkEnd w:id="4"/>
      <w:r>
        <w:rPr>
          <w:rFonts w:ascii="Arial" w:eastAsia="Arial" w:hAnsi="Arial" w:cs="Arial"/>
        </w:rPr>
        <w:t>1. Veřejné bibliografické zá</w:t>
      </w:r>
      <w:r>
        <w:rPr>
          <w:rFonts w:ascii="Arial" w:eastAsia="Arial" w:hAnsi="Arial" w:cs="Arial"/>
        </w:rPr>
        <w:t>znamy</w:t>
      </w:r>
    </w:p>
    <w:p w:rsidR="007F1CEB" w:rsidRDefault="00291D77">
      <w:pPr>
        <w:pStyle w:val="Nadpis3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5" w:name="_y91w16c9ucgc" w:colFirst="0" w:colLast="0"/>
      <w:bookmarkEnd w:id="5"/>
      <w:r>
        <w:rPr>
          <w:rFonts w:ascii="Arial" w:eastAsia="Arial" w:hAnsi="Arial" w:cs="Arial"/>
        </w:rPr>
        <w:t>OAI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Doporučeným způsobem zpřístupnění všech veřejných záznamů je OAI-PMH verze 2 ve formátu marcxml s podporou předávání informací o smazaných záznamech. 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Po prvotní celkové sklizni se předpokládá aktualizace záznamů 1x denně. Celkovou sklizeň musí být v případě potřeby možno zopakovat. Musí být možná pravidelná automatizovaná aktualizace a vyřešena podpora pro smazané nebo skryté záznamy. Aktualizace musejí</w:t>
      </w:r>
      <w:r>
        <w:t xml:space="preserve"> být zveřejňovány i při změně v exemplářích! OAI server musí být také dostatečně rychlý, celou databázi by mělo být možno stáhnout během několika hodin. </w:t>
      </w:r>
    </w:p>
    <w:p w:rsidR="007F1CEB" w:rsidRDefault="00291D77">
      <w:pPr>
        <w:pStyle w:val="Nadpis3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6" w:name="_v9duhztqyc0l" w:colFirst="0" w:colLast="0"/>
      <w:bookmarkEnd w:id="6"/>
      <w:r>
        <w:rPr>
          <w:rFonts w:ascii="Arial" w:eastAsia="Arial" w:hAnsi="Arial" w:cs="Arial"/>
        </w:rPr>
        <w:t>SFTP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Pokud Vaše knihovna nedisponuje protokolem OAI, je možné se domluvit na pravidelném exportu na SF</w:t>
      </w:r>
      <w:r>
        <w:t xml:space="preserve">TP server Moravské zemské knihovny. V takovém případě dojde k prvotnímu </w:t>
      </w:r>
      <w:r>
        <w:lastRenderedPageBreak/>
        <w:t>jednorázovému exportu všech dat a následně k zasílání každodenních aktualizací včetně informací o smazaných záznamech.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Style w:val="Nadpis3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7" w:name="_gtmtkvlrtev3" w:colFirst="0" w:colLast="0"/>
      <w:bookmarkEnd w:id="7"/>
      <w:r>
        <w:rPr>
          <w:rFonts w:ascii="Arial" w:eastAsia="Arial" w:hAnsi="Arial" w:cs="Arial"/>
        </w:rPr>
        <w:t>Dodržování standardů pro bibliografické záznamy</w:t>
      </w:r>
    </w:p>
    <w:p w:rsidR="007F1CEB" w:rsidRDefault="00291D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Doporučujeme důs</w:t>
      </w:r>
      <w:r>
        <w:t>ledné dodržování standardů, které jsou stanoveny pro přispívání do Souborného katalogu ČR (</w:t>
      </w:r>
      <w:hyperlink r:id="rId8">
        <w:r>
          <w:rPr>
            <w:color w:val="1155CC"/>
            <w:u w:val="single"/>
          </w:rPr>
          <w:t>http://www.caslin.cz/caslin/spoluprace/jak-prispivat-do-sk-cr/standardy</w:t>
        </w:r>
      </w:hyperlink>
      <w:r>
        <w:t xml:space="preserve">), </w:t>
      </w:r>
      <w:r>
        <w:t>jak z hlediska správnosti, tak rozsahu, pokud není v dalším textu uvedeno jinak. Důležitá je hlavně konzistence v oblasti kódovaných údajů</w:t>
      </w:r>
      <w:r>
        <w:rPr>
          <w:color w:val="222222"/>
          <w:sz w:val="20"/>
          <w:szCs w:val="20"/>
          <w:highlight w:val="white"/>
        </w:rPr>
        <w:t xml:space="preserve">. </w:t>
      </w:r>
    </w:p>
    <w:p w:rsidR="007F1CEB" w:rsidRDefault="00291D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Přijaté záznamy, které budou vyhodnoceny jako chybové či nesplňující minimální rozsah budou označeny jako chybové. U takových záznamů nezaručujeme kvalitní výsledky jejich deduplikací, vyhledávání a zobrazení. Těmto záznamům bude také snížena relevance, ta</w:t>
      </w:r>
      <w:r>
        <w:t>kže ve výsledcích hledání se budou řadit na nízké pozice.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Bibliografické záznamy očekáváme ve formátu MARC21, AACR2/RDA. Ze záznamů musí být jednoznačně jasné, zda byly vytvořeny podle AACR2 nebo RDA.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Záznamy musí mít v rámci organizace, která je poskytuje, jednoznačný identifikátor v poli 001 nebo jednoznačný OAI identifier. </w:t>
      </w:r>
    </w:p>
    <w:p w:rsidR="007F1CEB" w:rsidRDefault="007F1CEB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8" w:name="_qliilzhmjl2z" w:colFirst="0" w:colLast="0"/>
      <w:bookmarkEnd w:id="8"/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9" w:name="_3m363e2s04dm" w:colFirst="0" w:colLast="0"/>
      <w:bookmarkEnd w:id="9"/>
      <w:r>
        <w:br w:type="page"/>
      </w:r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0" w:name="_vubi8m6fo8an" w:colFirst="0" w:colLast="0"/>
      <w:bookmarkEnd w:id="10"/>
      <w:r>
        <w:rPr>
          <w:rFonts w:ascii="Arial" w:eastAsia="Arial" w:hAnsi="Arial" w:cs="Arial"/>
        </w:rPr>
        <w:lastRenderedPageBreak/>
        <w:t>2. Pole 996 v bibliografických záznamech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K záznamům je potřeba před předáním automatizovaně doplnit pole 996, které bude obs</w:t>
      </w:r>
      <w:r>
        <w:t>ahovat kopii údajů o jednotkách (exemplářích). Údaje v tomto poli budou sloužit k indexaci, vyhledávání a tvorbě faset. Aktuální informace o jednotkách bude v portále přenášena přes NCIP/Aleph API.</w:t>
      </w:r>
    </w:p>
    <w:p w:rsidR="007F1CEB" w:rsidRDefault="00291D77">
      <w:pPr>
        <w:pStyle w:val="Nadpis3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1" w:name="_2vxbkuoqkuz8" w:colFirst="0" w:colLast="0"/>
      <w:bookmarkEnd w:id="11"/>
      <w:r>
        <w:rPr>
          <w:rFonts w:ascii="Arial" w:eastAsia="Arial" w:hAnsi="Arial" w:cs="Arial"/>
        </w:rPr>
        <w:t>Specifikace:</w:t>
      </w:r>
    </w:p>
    <w:p w:rsidR="007F1CEB" w:rsidRDefault="00291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pole 996 je opakovatelné, jednotlivá podpole tohoto pole jsou neopakovatelná</w:t>
      </w:r>
    </w:p>
    <w:p w:rsidR="007F1CEB" w:rsidRDefault="00291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každá evidovaná jednotka má jedno pole 996</w:t>
      </w:r>
    </w:p>
    <w:p w:rsidR="007F1CEB" w:rsidRDefault="00291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pokud by se posílaly pro některé z údajů kódy, tak je potřeba poslat k daným hodnotám i mapování na textové údaje a pravidelně je při zm</w:t>
      </w:r>
      <w:r>
        <w:t xml:space="preserve">ěnách aktualizovat (nejlépe v české i v anglické verzi). </w:t>
      </w:r>
      <w:r>
        <w:rPr>
          <w:i/>
        </w:rPr>
        <w:t>Způsob, jakým se mapování bude zasílat a aktualizovat, bude upřesněn.</w:t>
      </w:r>
    </w:p>
    <w:p w:rsidR="007F1CEB" w:rsidRDefault="00291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neviditelná jednotka se:</w:t>
      </w:r>
    </w:p>
    <w:p w:rsidR="007F1CEB" w:rsidRDefault="00291D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buďto neposílá</w:t>
      </w:r>
    </w:p>
    <w:p w:rsidR="007F1CEB" w:rsidRDefault="00291D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nebo obsahuje podpole q s hodnotou 0</w:t>
      </w:r>
    </w:p>
    <w:p w:rsidR="007F1CEB" w:rsidRDefault="00291D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u seriálu:</w:t>
      </w:r>
    </w:p>
    <w:p w:rsidR="007F1CEB" w:rsidRDefault="00291D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každé číslo nebo svazek (např. svázaný ro</w:t>
      </w:r>
      <w:r>
        <w:t>čník) je 1 jednotka, která má samostatné pole 996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"/>
        <w:gridCol w:w="1840"/>
        <w:gridCol w:w="1940"/>
        <w:gridCol w:w="4740"/>
      </w:tblGrid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podpole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příklad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čárový kód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2610001234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Jednoznačný identifikátor v rámci jedné instituce.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skladová signatura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2-1234.567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Některé knihovny nepoužívají dvě signatury, v takovém případě zde uvést jen tu jednu, která je obsažená nebo která je relevantní.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 volného výběru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616.37 KAR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 této signatury jsou knihy řazeny na regálech volně přístupných pro uživatele.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rozpis svazku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 A-M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25252"/>
                <w:sz w:val="20"/>
                <w:szCs w:val="20"/>
                <w:shd w:val="clear" w:color="auto" w:fill="DFF4F5"/>
              </w:rPr>
            </w:pPr>
            <w:r>
              <w:rPr>
                <w:sz w:val="20"/>
                <w:szCs w:val="20"/>
              </w:rPr>
              <w:t>2014 27 253</w:t>
            </w:r>
            <w:r>
              <w:rPr>
                <w:color w:val="525252"/>
                <w:sz w:val="20"/>
                <w:szCs w:val="20"/>
                <w:shd w:val="clear" w:color="auto" w:fill="DFF4F5"/>
              </w:rPr>
              <w:t xml:space="preserve"> </w:t>
            </w:r>
          </w:p>
          <w:p w:rsidR="007F1CEB" w:rsidRDefault="00291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25252"/>
                <w:sz w:val="20"/>
                <w:szCs w:val="20"/>
                <w:shd w:val="clear" w:color="auto" w:fill="DFF4F5"/>
              </w:rPr>
            </w:pPr>
            <w:r>
              <w:rPr>
                <w:sz w:val="20"/>
                <w:szCs w:val="20"/>
              </w:rPr>
              <w:t>roč. 23 (2012), 1-52 + příl.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Text, který se zobrazí čtenáři, nepoužívá se pro filtrování ani pro další účely. Vícesvazková díla popisovaná shora, seriály </w:t>
            </w:r>
            <w:r>
              <w:rPr>
                <w:color w:val="525252"/>
                <w:sz w:val="20"/>
                <w:szCs w:val="20"/>
                <w:shd w:val="clear" w:color="auto" w:fill="DFF4F5"/>
              </w:rPr>
              <w:t>(</w:t>
            </w:r>
            <w:r>
              <w:rPr>
                <w:sz w:val="20"/>
                <w:szCs w:val="20"/>
              </w:rPr>
              <w:t>Rok, ročník, svazek),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seriálů jsou to v podstatě seskládaná podpole $y $v $i + případné zpřesnění a doplněné návěští)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ročníku 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Pouze pro periodika. Pokud jich je více, jsou odděleny čárkou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Pouze pro periodika.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Pouze pro periodika. Pokud jich je více, jsou odděleny čárkou.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pobočka (dílčí knihovna)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První úroveň členění.</w:t>
            </w:r>
          </w:p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knihovna posílá jako kód, je nutné, aby dodala převod kódů na slovní název pobočky </w:t>
            </w:r>
            <w:r>
              <w:rPr>
                <w:sz w:val="20"/>
                <w:szCs w:val="20"/>
              </w:rPr>
              <w:lastRenderedPageBreak/>
              <w:t>(český i anglický).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sbírka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úroveň členění,  doplňující informace k jednotce, které ale bývají společné pro více záznamů.</w:t>
            </w:r>
          </w:p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Pokud knihovna posílá kód, je nutné, aby dodala převod na slovní název (český i anglický).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Možné hodnoty: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absenčně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prezenčně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omezená dostupnost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- dočasně nedostupné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případě potřeby budou přidány další hodnoty</w:t>
            </w:r>
          </w:p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výpůjček dané jednotky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statistický údaj, není nutný, lze využít pro relevanci u vyhledaných záznamů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dostupnost v hodinách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dlouho trvá, než je od objednání kniha </w:t>
            </w:r>
          </w:p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připravena k vyzvednutí. Zásadní hodnota je 0 = volný výběr, 99999 = fakticky nedostupná kniha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nezobrazovat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případě hodnoty 0 v podpoli q se jednotka v rámci CPK nebude zobrazovat a indexovat </w:t>
            </w:r>
          </w:p>
          <w:p w:rsidR="007F1CEB" w:rsidRDefault="00291D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lze použít, pokud knihovna sdílí set pro vícero využití</w:t>
            </w:r>
          </w:p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administrativní číslo záznamu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knihovní systém aleph z30-doc-number</w:t>
            </w:r>
          </w:p>
          <w:p w:rsidR="007F1CEB" w:rsidRDefault="00291D7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knihovní systém Koha j</w:t>
            </w:r>
            <w:r>
              <w:rPr>
                <w:color w:val="222222"/>
                <w:sz w:val="20"/>
                <w:szCs w:val="20"/>
                <w:highlight w:val="white"/>
              </w:rPr>
              <w:t>ednoznačný identifikátor jednotky, který je použit pro NCIP komunikaci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z30_item_sequence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systémy aleph</w:t>
            </w:r>
          </w:p>
        </w:tc>
      </w:tr>
      <w:tr w:rsidR="007F1CEB">
        <w:tc>
          <w:tcPr>
            <w:tcW w:w="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adm. báze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7F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EB" w:rsidRDefault="0029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systémy aleph</w:t>
            </w:r>
          </w:p>
        </w:tc>
      </w:tr>
    </w:tbl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7F1CEB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2" w:name="_3lek0hh1270e" w:colFirst="0" w:colLast="0"/>
      <w:bookmarkEnd w:id="12"/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3" w:name="_h5lfqiz1kpwa" w:colFirst="0" w:colLast="0"/>
      <w:bookmarkEnd w:id="13"/>
      <w:r>
        <w:br w:type="page"/>
      </w:r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</w:rPr>
      </w:pPr>
      <w:bookmarkStart w:id="14" w:name="_j7qed4q80krn" w:colFirst="0" w:colLast="0"/>
      <w:bookmarkEnd w:id="14"/>
      <w:r>
        <w:rPr>
          <w:rFonts w:ascii="Arial" w:eastAsia="Arial" w:hAnsi="Arial" w:cs="Arial"/>
        </w:rPr>
        <w:lastRenderedPageBreak/>
        <w:t>3. NCIP/Aleph Restful Api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NCIP je protokol zajišťujicí např. autentizaci uživatele, objednání a rezervaci dokumentu nebo prodloužení výpůjčky. Přesný rozsah potřebných služeb k implementaci a více bližších informací naleznete v dokumentu </w:t>
      </w:r>
      <w:r>
        <w:rPr>
          <w:i/>
        </w:rPr>
        <w:t>Minimální NCIP požadavky pro zapojení do CPK</w:t>
      </w:r>
      <w:r>
        <w:rPr>
          <w:i/>
        </w:rPr>
        <w:t xml:space="preserve"> (Centrálního portálu knihoven)</w:t>
      </w:r>
      <w:r>
        <w:t xml:space="preserve">. Tento dokument je určený pro vývojáře a dodavatele knihovních systémů. O přístup k němu si, prosím, napište na adresu </w:t>
      </w:r>
      <w:hyperlink r:id="rId9">
        <w:r>
          <w:rPr>
            <w:color w:val="1155CC"/>
            <w:u w:val="single"/>
          </w:rPr>
          <w:t>ncip@mzk.cz</w:t>
        </w:r>
      </w:hyperlink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5" w:name="_jcdefh75e5ff" w:colFirst="0" w:colLast="0"/>
      <w:bookmarkEnd w:id="15"/>
      <w:r>
        <w:rPr>
          <w:rFonts w:ascii="Arial" w:eastAsia="Arial" w:hAnsi="Arial" w:cs="Arial"/>
        </w:rPr>
        <w:t>4. eduID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cs-CZ"/>
        </w:rPr>
        <w:drawing>
          <wp:inline distT="114300" distB="114300" distL="114300" distR="114300">
            <wp:extent cx="2381250" cy="904875"/>
            <wp:effectExtent l="0" t="0" r="0" b="0"/>
            <wp:docPr id="1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Zapojení knihovny do eduID je potřeba k tomu, aby bylo možno ověřovat uživatelské identity, tzn. aby se uživatel mohl přihlásit přihlašovacím jménem a heslem své domovské knihovny, aniž by si portál musel tyto informace ukládat u sebe.</w:t>
      </w:r>
    </w:p>
    <w:p w:rsidR="007F1CEB" w:rsidRDefault="00291D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Protože je zapojení </w:t>
      </w:r>
      <w:r>
        <w:t xml:space="preserve">do eduID technicky i organizačně poměrně náročné, malé knihovny budou moci využít bránu vyvinutou MZK, která jim vstup do eduID zajistí zprostředkovaně a pro zapojovanou knihovnu téměř bezpracně. 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Bez zapojení knihovny do eduID nebude možné, aby její uživatelé mohli plně využívat služeb portálu a skrze portál služby své knihovny. 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Bližší informace ohledně konfigurace naleznete na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Podrobný popis atributů, které je potřeba v rámci eduID povolovat je </w:t>
      </w:r>
      <w:r>
        <w:t xml:space="preserve">popsán na stránkách eduID. 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hyperlink r:id="rId11">
        <w:r>
          <w:rPr>
            <w:color w:val="1155CC"/>
            <w:u w:val="single"/>
          </w:rPr>
          <w:t>http://eduid.cz/cs/tech/sources/cpk</w:t>
        </w:r>
      </w:hyperlink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Uživatel se bude sice moci alternativně hlásit do portálu i s účty typu mojeID, Google, LinkedIn nebo Facebook, ale přihlašování tímto </w:t>
      </w:r>
      <w:r>
        <w:t>způsobem bez propojení účtu do zapojené knihovny uživatelům nepřinese plnohodnotné využívání služeb, pouze zpříjemní jejich autorizaci tím, že umožní využívat loginů a hesel používaných v jiných často používaných službách.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  <w:rPr>
          <w:color w:val="FF00FF"/>
        </w:rPr>
      </w:pPr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6" w:name="_lrmkh8i9d4d4" w:colFirst="0" w:colLast="0"/>
      <w:bookmarkEnd w:id="16"/>
      <w:r>
        <w:rPr>
          <w:rFonts w:ascii="Arial" w:eastAsia="Arial" w:hAnsi="Arial" w:cs="Arial"/>
        </w:rPr>
        <w:lastRenderedPageBreak/>
        <w:t>5. mojeID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cs-CZ"/>
        </w:rPr>
        <w:drawing>
          <wp:inline distT="114300" distB="114300" distL="114300" distR="114300">
            <wp:extent cx="2519363" cy="709042"/>
            <wp:effectExtent l="0" t="0" r="0" b="0"/>
            <wp:docPr id="2" name="image2.png" descr="mojei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ojeid.png"/>
                    <pic:cNvPicPr preferRelativeResize="0"/>
                  </pic:nvPicPr>
                  <pic:blipFill>
                    <a:blip r:embed="rId12"/>
                    <a:srcRect t="-66433" r="-66433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709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mojeID je doplň</w:t>
      </w:r>
      <w:r>
        <w:t>ková služba, kterou knihovny mohou zavést i nezávisle na zapojení se do Centrálního portálu knihoven.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Knihovny mohou:</w:t>
      </w:r>
    </w:p>
    <w:p w:rsidR="007F1CEB" w:rsidRDefault="00291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stát se validačním (ověřovacím) místem, kde si uživatelé svou identitu nechají ověřit - tím se jejich účet mojeID stane důvěryhodným pro ostatní.</w:t>
      </w:r>
    </w:p>
    <w:p w:rsidR="007F1CEB" w:rsidRDefault="00291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umožňovat, aby si uživatel propojil svůj knihovní účet s účtem mojeID pro jednotné přihlášení (tato funkce nem</w:t>
      </w:r>
      <w:r>
        <w:t>á s funkcemi Centrálního portálu knihoven nic společného, jen umožňuje uživateli, aby si nemusel pamatovat přihlašovací údaje do knihovny)</w:t>
      </w:r>
    </w:p>
    <w:p w:rsidR="007F1CEB" w:rsidRDefault="00291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přebírat informace o ověřených uživatelích z mojeID jako součást on-line registrace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Registrovat se do služby mojeID </w:t>
      </w:r>
      <w:r>
        <w:t>mohou uživatelé sami prostřednictvím Internetu. Svůj účet pak mohou validovat těmito způsoby:</w:t>
      </w:r>
    </w:p>
    <w:p w:rsidR="007F1CEB" w:rsidRDefault="00291D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color w:val="000000"/>
        </w:rPr>
      </w:pPr>
      <w:r>
        <w:t xml:space="preserve">osobní návštěvou v centrále mojeID nebo na </w:t>
      </w:r>
      <w:hyperlink r:id="rId13" w:anchor="04">
        <w:r>
          <w:t>validačním místě</w:t>
        </w:r>
      </w:hyperlink>
      <w:r>
        <w:t xml:space="preserve"> (zdarma)</w:t>
      </w:r>
    </w:p>
    <w:p w:rsidR="007F1CEB" w:rsidRDefault="00291D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podepsáním žádosti o validaci platným elektronickým podpisem (zdarma)</w:t>
      </w:r>
    </w:p>
    <w:p w:rsidR="007F1CEB" w:rsidRDefault="00291D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80" w:line="240" w:lineRule="auto"/>
        <w:rPr>
          <w:color w:val="000000"/>
        </w:rPr>
      </w:pPr>
      <w:r>
        <w:t xml:space="preserve">úředně ověřeným podpisem na žádosti o validaci (u </w:t>
      </w:r>
      <w:hyperlink r:id="rId14">
        <w:r>
          <w:t>notáře</w:t>
        </w:r>
      </w:hyperlink>
      <w:r>
        <w:t xml:space="preserve"> nebo na pracovišti C</w:t>
      </w:r>
      <w:hyperlink r:id="rId15">
        <w:r>
          <w:t>zech</w:t>
        </w:r>
        <w:r>
          <w:t>POINT</w:t>
        </w:r>
      </w:hyperlink>
      <w:r>
        <w:t>- za poplatek)</w:t>
      </w:r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7" w:name="_2nwp3ilt63xu" w:colFirst="0" w:colLast="0"/>
      <w:bookmarkEnd w:id="17"/>
      <w:r>
        <w:rPr>
          <w:rFonts w:ascii="Arial" w:eastAsia="Arial" w:hAnsi="Arial" w:cs="Arial"/>
        </w:rPr>
        <w:t>6. Platby online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Vhodný nástroj k platbě dluhu nebo jako součást on-line registrace. Knihovna tak může zpřístupnit své online služby vzdáleným uživatelům, aniž by  museli do knihovny chodit.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</w:pP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Centrální portál knihoven nebude vybírat pe</w:t>
      </w:r>
      <w:r>
        <w:t>níze přímo, ale přesměruje v případě potřeby na platební bránu příslušné knihovny. V případě, že knihovna nebude podporovat on-line platby, stále bude moci využívat ostatních služeb portálu.</w:t>
      </w:r>
    </w:p>
    <w:p w:rsidR="007F1CEB" w:rsidRDefault="007F1CEB">
      <w:pPr>
        <w:pStyle w:val="Nadpis3"/>
        <w:pBdr>
          <w:top w:val="nil"/>
          <w:left w:val="nil"/>
          <w:bottom w:val="nil"/>
          <w:right w:val="nil"/>
          <w:between w:val="nil"/>
        </w:pBdr>
      </w:pPr>
      <w:bookmarkStart w:id="18" w:name="_rr0qs9cyu33r" w:colFirst="0" w:colLast="0"/>
      <w:bookmarkEnd w:id="18"/>
    </w:p>
    <w:p w:rsidR="007F1CEB" w:rsidRDefault="007F1CEB">
      <w:pPr>
        <w:pStyle w:val="Nadpis3"/>
        <w:pBdr>
          <w:top w:val="nil"/>
          <w:left w:val="nil"/>
          <w:bottom w:val="nil"/>
          <w:right w:val="nil"/>
          <w:between w:val="nil"/>
        </w:pBdr>
      </w:pPr>
      <w:bookmarkStart w:id="19" w:name="_u8lotks2cfhf" w:colFirst="0" w:colLast="0"/>
      <w:bookmarkEnd w:id="19"/>
    </w:p>
    <w:p w:rsidR="007F1CEB" w:rsidRDefault="00291D77">
      <w:pPr>
        <w:pStyle w:val="Nadpis2"/>
        <w:pBdr>
          <w:top w:val="nil"/>
          <w:left w:val="nil"/>
          <w:bottom w:val="nil"/>
          <w:right w:val="nil"/>
          <w:between w:val="nil"/>
        </w:pBdr>
      </w:pPr>
      <w:bookmarkStart w:id="20" w:name="_7bv0bdfv4fwa" w:colFirst="0" w:colLast="0"/>
      <w:bookmarkEnd w:id="20"/>
      <w:r>
        <w:t>Výjimky</w:t>
      </w:r>
    </w:p>
    <w:p w:rsidR="007F1CEB" w:rsidRDefault="00291D77">
      <w:pPr>
        <w:pBdr>
          <w:top w:val="nil"/>
          <w:left w:val="nil"/>
          <w:bottom w:val="nil"/>
          <w:right w:val="nil"/>
          <w:between w:val="nil"/>
        </w:pBdr>
      </w:pPr>
      <w:r>
        <w:t>Výjimky z pravidel pro zapojení budou poskytovány</w:t>
      </w:r>
      <w:r>
        <w:t xml:space="preserve"> pouze ve výjimečných případech.</w:t>
      </w:r>
    </w:p>
    <w:p w:rsidR="007F1CEB" w:rsidRDefault="007F1CEB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0"/>
          <w:szCs w:val="20"/>
          <w:highlight w:val="white"/>
        </w:rPr>
      </w:pPr>
    </w:p>
    <w:sectPr w:rsidR="007F1CE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D77">
      <w:pPr>
        <w:spacing w:line="240" w:lineRule="auto"/>
      </w:pPr>
      <w:r>
        <w:separator/>
      </w:r>
    </w:p>
  </w:endnote>
  <w:endnote w:type="continuationSeparator" w:id="0">
    <w:p w:rsidR="00000000" w:rsidRDefault="00291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D77">
      <w:pPr>
        <w:spacing w:line="240" w:lineRule="auto"/>
      </w:pPr>
      <w:r>
        <w:separator/>
      </w:r>
    </w:p>
  </w:footnote>
  <w:footnote w:type="continuationSeparator" w:id="0">
    <w:p w:rsidR="00000000" w:rsidRDefault="00291D77">
      <w:pPr>
        <w:spacing w:line="240" w:lineRule="auto"/>
      </w:pPr>
      <w:r>
        <w:continuationSeparator/>
      </w:r>
    </w:p>
  </w:footnote>
  <w:footnote w:id="1">
    <w:p w:rsidR="007F1CEB" w:rsidRDefault="00291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Požadavky jsou specifikovány podrobněji v následujícím textu.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8E"/>
    <w:multiLevelType w:val="multilevel"/>
    <w:tmpl w:val="E5102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5422C8"/>
    <w:multiLevelType w:val="multilevel"/>
    <w:tmpl w:val="21087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DD966DE"/>
    <w:multiLevelType w:val="multilevel"/>
    <w:tmpl w:val="19567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0545E88"/>
    <w:multiLevelType w:val="multilevel"/>
    <w:tmpl w:val="9BE89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3494D8F"/>
    <w:multiLevelType w:val="multilevel"/>
    <w:tmpl w:val="38F203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77777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A5F7C9D"/>
    <w:multiLevelType w:val="multilevel"/>
    <w:tmpl w:val="A7C6C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C0381D"/>
    <w:multiLevelType w:val="multilevel"/>
    <w:tmpl w:val="E1F07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E374A95"/>
    <w:multiLevelType w:val="multilevel"/>
    <w:tmpl w:val="EE5A9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CEB"/>
    <w:rsid w:val="00291D77"/>
    <w:rsid w:val="007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lin.cz/caslin/spoluprace/jak-prispivat-do-sk-cr/standardy" TargetMode="External"/><Relationship Id="rId13" Type="http://schemas.openxmlformats.org/officeDocument/2006/relationships/hyperlink" Target="https://www.mojeid.cz/page/1919/validace-uctu-moje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id.cz/cs/tech/sources/c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echpoint.cz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cip@mzk.cz" TargetMode="External"/><Relationship Id="rId14" Type="http://schemas.openxmlformats.org/officeDocument/2006/relationships/hyperlink" Target="http://www.nkcr.cz/index.php?page=not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2020-05-20T10:25:00Z</dcterms:created>
  <dcterms:modified xsi:type="dcterms:W3CDTF">2020-05-20T10:25:00Z</dcterms:modified>
</cp:coreProperties>
</file>